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18C5EFA5" w:rsidR="00286893" w:rsidRDefault="00286893" w:rsidP="00A14D66">
      <w:pPr>
        <w:pStyle w:val="Headline"/>
        <w:outlineLvl w:val="0"/>
      </w:pPr>
      <w:r w:rsidRPr="001D5353">
        <w:t>PRESSEMITTEILUNG</w:t>
      </w:r>
    </w:p>
    <w:p w14:paraId="7C873F71" w14:textId="77777777" w:rsidR="00EC326E" w:rsidRPr="00EC326E" w:rsidRDefault="00EC326E" w:rsidP="00A14D66">
      <w:pPr>
        <w:pStyle w:val="Headline"/>
        <w:outlineLvl w:val="0"/>
      </w:pPr>
    </w:p>
    <w:p w14:paraId="43C64A30" w14:textId="77777777" w:rsidR="00EC326E" w:rsidRPr="00EC326E" w:rsidRDefault="00EC326E" w:rsidP="00EC326E">
      <w:pPr>
        <w:rPr>
          <w:rFonts w:ascii="Arial" w:hAnsi="Arial" w:cs="Arial"/>
          <w:b/>
          <w:sz w:val="40"/>
          <w:szCs w:val="40"/>
        </w:rPr>
      </w:pPr>
      <w:r w:rsidRPr="00EC326E">
        <w:rPr>
          <w:rFonts w:ascii="Arial" w:hAnsi="Arial" w:cs="Arial"/>
          <w:b/>
          <w:sz w:val="40"/>
          <w:szCs w:val="40"/>
        </w:rPr>
        <w:t xml:space="preserve">Neue </w:t>
      </w:r>
      <w:proofErr w:type="spellStart"/>
      <w:r w:rsidRPr="00EC326E">
        <w:rPr>
          <w:rFonts w:ascii="Arial" w:hAnsi="Arial" w:cs="Arial"/>
          <w:b/>
          <w:sz w:val="40"/>
          <w:szCs w:val="40"/>
        </w:rPr>
        <w:t>Cat</w:t>
      </w:r>
      <w:proofErr w:type="spellEnd"/>
      <w:r w:rsidRPr="00EC326E">
        <w:rPr>
          <w:rFonts w:ascii="Arial" w:hAnsi="Arial" w:cs="Arial"/>
          <w:b/>
          <w:sz w:val="40"/>
          <w:szCs w:val="40"/>
        </w:rPr>
        <w:t xml:space="preserve"> Tandemwalzen in GC-Ausführung </w:t>
      </w:r>
    </w:p>
    <w:p w14:paraId="3D7E8104" w14:textId="77777777" w:rsidR="00EC326E" w:rsidRPr="00F87EF2" w:rsidRDefault="00EC326E" w:rsidP="00EC326E">
      <w:pPr>
        <w:rPr>
          <w:rFonts w:ascii="Arial" w:hAnsi="Arial" w:cs="Arial"/>
          <w:b/>
        </w:rPr>
      </w:pPr>
      <w:r w:rsidRPr="00F87EF2">
        <w:rPr>
          <w:rFonts w:ascii="Arial" w:hAnsi="Arial" w:cs="Arial"/>
          <w:b/>
        </w:rPr>
        <w:t xml:space="preserve">München (KF). </w:t>
      </w:r>
      <w:proofErr w:type="spellStart"/>
      <w:r w:rsidRPr="00F87EF2">
        <w:rPr>
          <w:rFonts w:ascii="Arial" w:hAnsi="Arial" w:cs="Arial"/>
          <w:b/>
        </w:rPr>
        <w:t>Caterpillar</w:t>
      </w:r>
      <w:proofErr w:type="spellEnd"/>
      <w:r w:rsidRPr="00F87EF2">
        <w:rPr>
          <w:rFonts w:ascii="Arial" w:hAnsi="Arial" w:cs="Arial"/>
          <w:b/>
        </w:rPr>
        <w:t xml:space="preserve"> bringt drei neue kompakte Tandem-Walzen in der Klasse bis 3 Tonnen auf den Markt. Die neuen Modelle der GC-Serie werden von einem Motor angetrieben, der zur Erfüllung der EU-Abgasnorm Stufe V keine Nachbehandlung benötigt. Wie alle </w:t>
      </w:r>
      <w:proofErr w:type="spellStart"/>
      <w:r w:rsidRPr="00F87EF2">
        <w:rPr>
          <w:rFonts w:ascii="Arial" w:hAnsi="Arial" w:cs="Arial"/>
          <w:b/>
        </w:rPr>
        <w:t>Cat</w:t>
      </w:r>
      <w:proofErr w:type="spellEnd"/>
      <w:r w:rsidRPr="00F87EF2">
        <w:rPr>
          <w:rFonts w:ascii="Arial" w:hAnsi="Arial" w:cs="Arial"/>
          <w:b/>
        </w:rPr>
        <w:t xml:space="preserve"> Baumaschinen der GC-Reihe bieten Sie praxisgerechte Ausstattung bei hoher Leistung und niedrigen Betriebskosten.</w:t>
      </w:r>
    </w:p>
    <w:p w14:paraId="598EEB13" w14:textId="77777777" w:rsidR="00EC326E" w:rsidRPr="00F87EF2" w:rsidRDefault="00EC326E" w:rsidP="00EC326E">
      <w:pPr>
        <w:rPr>
          <w:rFonts w:ascii="Arial" w:hAnsi="Arial" w:cs="Arial"/>
        </w:rPr>
      </w:pPr>
      <w:r w:rsidRPr="00F87EF2">
        <w:rPr>
          <w:rFonts w:ascii="Arial" w:hAnsi="Arial" w:cs="Arial"/>
        </w:rPr>
        <w:t xml:space="preserve">Die drei Tandem-Walzen CB2.5 GC, CB2.7 GC und die neue Kombiwalze CC2.7 GC zeichnen sich aus durch höhere Produktivität, unübertroffene Effizienz, einfache Bedienung und leichte Wartung. Die Typbezeichnungen beziehen sich dabei auf das Einsatzgewicht. Diese vielseitigen Walzen eignen sich für Boden- und Asphaltarbeiten, z. B. auf Parkplätzen, Einfahrten, städtischen Straßen, im Landschaftsbau und auf kleinen Baustellen. </w:t>
      </w:r>
    </w:p>
    <w:p w14:paraId="6E7CF201" w14:textId="69DB2FCE" w:rsidR="00EC326E" w:rsidRPr="00F87EF2" w:rsidRDefault="00EC326E" w:rsidP="00EC326E">
      <w:pPr>
        <w:rPr>
          <w:rFonts w:ascii="Arial" w:hAnsi="Arial" w:cs="Arial"/>
        </w:rPr>
      </w:pPr>
      <w:r w:rsidRPr="00F87EF2">
        <w:rPr>
          <w:rFonts w:ascii="Arial" w:hAnsi="Arial" w:cs="Arial"/>
        </w:rPr>
        <w:t xml:space="preserve"> Die kompakten und wendigen </w:t>
      </w:r>
      <w:proofErr w:type="spellStart"/>
      <w:r w:rsidRPr="00F87EF2">
        <w:rPr>
          <w:rFonts w:ascii="Arial" w:hAnsi="Arial" w:cs="Arial"/>
        </w:rPr>
        <w:t>Cat</w:t>
      </w:r>
      <w:proofErr w:type="spellEnd"/>
      <w:r w:rsidRPr="00F87EF2">
        <w:rPr>
          <w:rFonts w:ascii="Arial" w:hAnsi="Arial" w:cs="Arial"/>
        </w:rPr>
        <w:t xml:space="preserve"> Walzenzüge der GC-Serie sind auch für die Vermietung konzipiert. Angetrieben von einem turbogeladenen </w:t>
      </w:r>
      <w:proofErr w:type="spellStart"/>
      <w:r w:rsidRPr="00F87EF2">
        <w:rPr>
          <w:rFonts w:ascii="Arial" w:hAnsi="Arial" w:cs="Arial"/>
        </w:rPr>
        <w:t>Cat</w:t>
      </w:r>
      <w:proofErr w:type="spellEnd"/>
      <w:r w:rsidRPr="00F87EF2">
        <w:rPr>
          <w:rFonts w:ascii="Arial" w:hAnsi="Arial" w:cs="Arial"/>
        </w:rPr>
        <w:t xml:space="preserve"> C1.7T-Motor mit 18 kW (25 PS) erfüllen alle drei Modelle die EU-Abgasnorm Stufe V</w:t>
      </w:r>
      <w:r>
        <w:rPr>
          <w:rFonts w:ascii="Arial" w:hAnsi="Arial" w:cs="Arial"/>
        </w:rPr>
        <w:t xml:space="preserve"> </w:t>
      </w:r>
      <w:r w:rsidRPr="00F87EF2">
        <w:rPr>
          <w:rFonts w:ascii="Arial" w:hAnsi="Arial" w:cs="Arial"/>
        </w:rPr>
        <w:t xml:space="preserve">ohne Nachbehandlungssystem, was die Wartung vereinfacht und die Servicekosten senkt. Die fortschrittliche Hydraulik und die exklusive Power-Management-Software sorgen dafür, dass der kleinere Motor die gleiche Leistung wie sein Vorgänger erbringt. Die neue automatische Leerlaufabschaltung hilft, Kraftstoff und Maschinenstunden zu sparen. </w:t>
      </w:r>
    </w:p>
    <w:p w14:paraId="6B12CD4E" w14:textId="64BB68ED" w:rsidR="00EC326E" w:rsidRPr="00EC326E" w:rsidRDefault="00EC326E" w:rsidP="00EC326E">
      <w:pPr>
        <w:rPr>
          <w:rFonts w:ascii="Arial" w:hAnsi="Arial" w:cs="Arial"/>
        </w:rPr>
      </w:pPr>
      <w:r w:rsidRPr="00F87EF2">
        <w:rPr>
          <w:rFonts w:ascii="Arial" w:hAnsi="Arial" w:cs="Arial"/>
        </w:rPr>
        <w:t xml:space="preserve"> </w:t>
      </w:r>
      <w:r w:rsidRPr="00F87EF2">
        <w:rPr>
          <w:rFonts w:ascii="Arial" w:hAnsi="Arial" w:cs="Arial"/>
          <w:b/>
        </w:rPr>
        <w:t xml:space="preserve">Einfach und produktiv </w:t>
      </w:r>
    </w:p>
    <w:p w14:paraId="4B5B20EC" w14:textId="77777777" w:rsidR="00EC326E" w:rsidRPr="00F87EF2" w:rsidRDefault="00EC326E" w:rsidP="00EC326E">
      <w:pPr>
        <w:rPr>
          <w:rFonts w:ascii="Arial" w:hAnsi="Arial" w:cs="Arial"/>
        </w:rPr>
      </w:pPr>
      <w:r w:rsidRPr="00F87EF2">
        <w:rPr>
          <w:rFonts w:ascii="Arial" w:hAnsi="Arial" w:cs="Arial"/>
        </w:rPr>
        <w:t xml:space="preserve">Die überarbeiteten Bedienelemente verfügen über praktische </w:t>
      </w:r>
      <w:proofErr w:type="spellStart"/>
      <w:r w:rsidRPr="00F87EF2">
        <w:rPr>
          <w:rFonts w:ascii="Arial" w:hAnsi="Arial" w:cs="Arial"/>
        </w:rPr>
        <w:t>Wippschalter</w:t>
      </w:r>
      <w:proofErr w:type="spellEnd"/>
      <w:r w:rsidRPr="00F87EF2">
        <w:rPr>
          <w:rFonts w:ascii="Arial" w:hAnsi="Arial" w:cs="Arial"/>
        </w:rPr>
        <w:t xml:space="preserve"> und ein gut ablesbares </w:t>
      </w:r>
      <w:proofErr w:type="spellStart"/>
      <w:r w:rsidRPr="00F87EF2">
        <w:rPr>
          <w:rFonts w:ascii="Arial" w:hAnsi="Arial" w:cs="Arial"/>
        </w:rPr>
        <w:t>Cat</w:t>
      </w:r>
      <w:proofErr w:type="spellEnd"/>
      <w:r w:rsidRPr="00F87EF2">
        <w:rPr>
          <w:rFonts w:ascii="Arial" w:hAnsi="Arial" w:cs="Arial"/>
        </w:rPr>
        <w:t xml:space="preserve"> Display für eine intuitive Bedienung, die auch unerfahrene Bediener schnell lernen können. Die automatische Vibrationskontrolle stoppt die Vibration, wenn der Fahrhebel in der Neutralstellung ist, um Markierungen auf der Asphaltmatte zu vermeiden. Die optional verfügbaren beidseits angebrachten Doppelfahrhebel erhöhen den Bedienkomfort.  </w:t>
      </w:r>
    </w:p>
    <w:p w14:paraId="74677ACC" w14:textId="0A0108CD" w:rsidR="00EC326E" w:rsidRPr="00F87EF2" w:rsidRDefault="00EC326E" w:rsidP="00EC326E">
      <w:pPr>
        <w:rPr>
          <w:rFonts w:ascii="Arial" w:hAnsi="Arial" w:cs="Arial"/>
        </w:rPr>
      </w:pPr>
      <w:r w:rsidRPr="00F87EF2">
        <w:rPr>
          <w:rFonts w:ascii="Arial" w:hAnsi="Arial" w:cs="Arial"/>
        </w:rPr>
        <w:t xml:space="preserve"> Mit Verdichtungsbreiten von 1.000 mm bis 1.300 mm verfügen alle neuen </w:t>
      </w:r>
      <w:proofErr w:type="spellStart"/>
      <w:r w:rsidRPr="00F87EF2">
        <w:rPr>
          <w:rFonts w:ascii="Arial" w:hAnsi="Arial" w:cs="Arial"/>
        </w:rPr>
        <w:t>Cat</w:t>
      </w:r>
      <w:proofErr w:type="spellEnd"/>
      <w:r w:rsidRPr="00F87EF2">
        <w:rPr>
          <w:rFonts w:ascii="Arial" w:hAnsi="Arial" w:cs="Arial"/>
        </w:rPr>
        <w:t xml:space="preserve"> Tandem-Walzen über große </w:t>
      </w:r>
      <w:proofErr w:type="spellStart"/>
      <w:r w:rsidRPr="00F87EF2">
        <w:rPr>
          <w:rFonts w:ascii="Arial" w:hAnsi="Arial" w:cs="Arial"/>
        </w:rPr>
        <w:t>Bandagendurchmesser</w:t>
      </w:r>
      <w:proofErr w:type="spellEnd"/>
      <w:r w:rsidRPr="00F87EF2">
        <w:rPr>
          <w:rFonts w:ascii="Arial" w:hAnsi="Arial" w:cs="Arial"/>
        </w:rPr>
        <w:t xml:space="preserve"> von 720 mm für glatte Oberflächen. Verstärkte 14 mm dicke Bandagen sorgen für mehr Haltbarkeit und eine höhere Verdichtungsleistung durch das höhere Gewicht. Der </w:t>
      </w:r>
      <w:proofErr w:type="spellStart"/>
      <w:r w:rsidRPr="00F87EF2">
        <w:rPr>
          <w:rFonts w:ascii="Arial" w:hAnsi="Arial" w:cs="Arial"/>
        </w:rPr>
        <w:t>Bandagenversatz</w:t>
      </w:r>
      <w:proofErr w:type="spellEnd"/>
      <w:r w:rsidRPr="00F87EF2">
        <w:rPr>
          <w:rFonts w:ascii="Arial" w:hAnsi="Arial" w:cs="Arial"/>
        </w:rPr>
        <w:t xml:space="preserve"> der Walzen von 50 mm verbessert die Verdichtungsleistung beim Walzen neben Bordsteinen. Ein schmales Rahmendesign ermöglicht eine bessere Sicht auf die Arbeitsfläche und den </w:t>
      </w:r>
      <w:proofErr w:type="spellStart"/>
      <w:r w:rsidRPr="00F87EF2">
        <w:rPr>
          <w:rFonts w:ascii="Arial" w:hAnsi="Arial" w:cs="Arial"/>
        </w:rPr>
        <w:t>Bandagenrand</w:t>
      </w:r>
      <w:proofErr w:type="spellEnd"/>
      <w:r w:rsidRPr="00F87EF2">
        <w:rPr>
          <w:rFonts w:ascii="Arial" w:hAnsi="Arial" w:cs="Arial"/>
        </w:rPr>
        <w:t xml:space="preserve">. Das optionale Verdichtungsmess-System (CMV) verbessert die Verdichtungsqualität, vermeidet unnötige Überfahrten und erhöht die Materialkonsistenz. </w:t>
      </w:r>
    </w:p>
    <w:p w14:paraId="3F7715EE" w14:textId="524D205A" w:rsidR="00EC326E" w:rsidRPr="00F87EF2" w:rsidRDefault="00EC326E" w:rsidP="00EC326E">
      <w:pPr>
        <w:rPr>
          <w:rFonts w:ascii="Arial" w:hAnsi="Arial" w:cs="Arial"/>
        </w:rPr>
      </w:pPr>
      <w:r w:rsidRPr="00F87EF2">
        <w:rPr>
          <w:rFonts w:ascii="Arial" w:hAnsi="Arial" w:cs="Arial"/>
        </w:rPr>
        <w:lastRenderedPageBreak/>
        <w:t xml:space="preserve"> Die neuen Modelle der GC-Serie sind mit einer Wassertankanzeige ausgestattet, die eine kontinuierliche Überwachung vom Fahrerplatz aus ermöglicht, so dass der Tank nicht leerlaufen kann. Besser positionierte Düsen an den Sprühbalken verbessern die Wasserabdeckung auf der Trommel, um eine Materialaufnahme zu verhindern. Der neuartige Sprühtestmodus des Wassersystems erleichtert das Testen und Einstellen des Düsenwinkels, um eine korrekte </w:t>
      </w:r>
      <w:r w:rsidR="00151F22">
        <w:rPr>
          <w:rFonts w:ascii="Arial" w:hAnsi="Arial" w:cs="Arial"/>
        </w:rPr>
        <w:t>Bandagen</w:t>
      </w:r>
      <w:r w:rsidRPr="00F87EF2">
        <w:rPr>
          <w:rFonts w:ascii="Arial" w:hAnsi="Arial" w:cs="Arial"/>
        </w:rPr>
        <w:t xml:space="preserve">abdeckung zu gewährleisten. </w:t>
      </w:r>
    </w:p>
    <w:p w14:paraId="1A4AE165" w14:textId="6AD8040F" w:rsidR="00EC326E" w:rsidRPr="00EC326E" w:rsidRDefault="00EC326E" w:rsidP="00EC326E">
      <w:pPr>
        <w:rPr>
          <w:rFonts w:ascii="Arial" w:hAnsi="Arial" w:cs="Arial"/>
        </w:rPr>
      </w:pPr>
      <w:r w:rsidRPr="00F87EF2">
        <w:rPr>
          <w:rFonts w:ascii="Arial" w:hAnsi="Arial" w:cs="Arial"/>
        </w:rPr>
        <w:t xml:space="preserve"> </w:t>
      </w:r>
      <w:r w:rsidRPr="00F87EF2">
        <w:rPr>
          <w:rFonts w:ascii="Arial" w:hAnsi="Arial" w:cs="Arial"/>
          <w:b/>
        </w:rPr>
        <w:t xml:space="preserve">Verbesserter Service und Sicherheit </w:t>
      </w:r>
    </w:p>
    <w:p w14:paraId="45B5ABD2" w14:textId="77777777" w:rsidR="00EC326E" w:rsidRPr="00F87EF2" w:rsidRDefault="00EC326E" w:rsidP="00EC326E">
      <w:pPr>
        <w:rPr>
          <w:rFonts w:ascii="Arial" w:hAnsi="Arial" w:cs="Arial"/>
        </w:rPr>
      </w:pPr>
      <w:r w:rsidRPr="00F87EF2">
        <w:rPr>
          <w:rFonts w:ascii="Arial" w:hAnsi="Arial" w:cs="Arial"/>
        </w:rPr>
        <w:t xml:space="preserve">Um Servicetechniker bei der schnellen Diagnose bestehender und potenzieller Probleme zu unterstützen, ist die neue Baureihe der Universalverdichter jetzt standardmäßig mit der </w:t>
      </w:r>
      <w:proofErr w:type="spellStart"/>
      <w:r w:rsidRPr="00F87EF2">
        <w:rPr>
          <w:rFonts w:ascii="Arial" w:hAnsi="Arial" w:cs="Arial"/>
        </w:rPr>
        <w:t>Cat</w:t>
      </w:r>
      <w:proofErr w:type="spellEnd"/>
      <w:r w:rsidRPr="00F87EF2">
        <w:rPr>
          <w:rFonts w:ascii="Arial" w:hAnsi="Arial" w:cs="Arial"/>
        </w:rPr>
        <w:t xml:space="preserve"> ET-Diagnosesoftware (Electronic </w:t>
      </w:r>
      <w:proofErr w:type="spellStart"/>
      <w:r w:rsidRPr="00F87EF2">
        <w:rPr>
          <w:rFonts w:ascii="Arial" w:hAnsi="Arial" w:cs="Arial"/>
        </w:rPr>
        <w:t>Technician</w:t>
      </w:r>
      <w:proofErr w:type="spellEnd"/>
      <w:r w:rsidRPr="00F87EF2">
        <w:rPr>
          <w:rFonts w:ascii="Arial" w:hAnsi="Arial" w:cs="Arial"/>
        </w:rPr>
        <w:t xml:space="preserve">) ausgestattet. Bei Anschluss an das elektronische Steuermodul (ECM) greift </w:t>
      </w:r>
      <w:proofErr w:type="spellStart"/>
      <w:r w:rsidRPr="00F87EF2">
        <w:rPr>
          <w:rFonts w:ascii="Arial" w:hAnsi="Arial" w:cs="Arial"/>
        </w:rPr>
        <w:t>Cat</w:t>
      </w:r>
      <w:proofErr w:type="spellEnd"/>
      <w:r w:rsidRPr="00F87EF2">
        <w:rPr>
          <w:rFonts w:ascii="Arial" w:hAnsi="Arial" w:cs="Arial"/>
        </w:rPr>
        <w:t xml:space="preserve"> ET auf Diagnoseinformationen zu, wie z. B. die Anzeige von Statusparametern, die Anzeige aktiver Diagnosecodes, die Anzeige protokollierter Diagnosecodes sowie Diagnosetests und -</w:t>
      </w:r>
      <w:proofErr w:type="spellStart"/>
      <w:r w:rsidRPr="00F87EF2">
        <w:rPr>
          <w:rFonts w:ascii="Arial" w:hAnsi="Arial" w:cs="Arial"/>
        </w:rPr>
        <w:t>kalibrierung</w:t>
      </w:r>
      <w:proofErr w:type="spellEnd"/>
      <w:r w:rsidRPr="00F87EF2">
        <w:rPr>
          <w:rFonts w:ascii="Arial" w:hAnsi="Arial" w:cs="Arial"/>
        </w:rPr>
        <w:t xml:space="preserve">, um die Identifizierung von Maschinenproblemen zu unterstützen. </w:t>
      </w:r>
    </w:p>
    <w:p w14:paraId="7B9EEEA9" w14:textId="5C6A0894" w:rsidR="00EC326E" w:rsidRPr="00F87EF2" w:rsidRDefault="00EC326E" w:rsidP="00EC326E">
      <w:pPr>
        <w:rPr>
          <w:rFonts w:ascii="Arial" w:hAnsi="Arial" w:cs="Arial"/>
        </w:rPr>
      </w:pPr>
      <w:r w:rsidRPr="00F87EF2">
        <w:rPr>
          <w:rFonts w:ascii="Arial" w:hAnsi="Arial" w:cs="Arial"/>
        </w:rPr>
        <w:t xml:space="preserve"> Das </w:t>
      </w:r>
      <w:proofErr w:type="spellStart"/>
      <w:r w:rsidRPr="00F87EF2">
        <w:rPr>
          <w:rFonts w:ascii="Arial" w:hAnsi="Arial" w:cs="Arial"/>
        </w:rPr>
        <w:t>Cat</w:t>
      </w:r>
      <w:proofErr w:type="spellEnd"/>
      <w:r w:rsidRPr="00F87EF2">
        <w:rPr>
          <w:rFonts w:ascii="Arial" w:hAnsi="Arial" w:cs="Arial"/>
        </w:rPr>
        <w:t xml:space="preserve"> Flottenmanagement im Standard erfasst wichtige Betriebsdaten, Fehlercodes und Informationen zum Maschinenstandort, um die Effizienz des Flottenmanagements zu steigern. Die optionale Remote-Fehlerbehebung analysiert Maschinendaten in Echtzeit zur Diagnose von Fehlercodes, ohne die Maschinenproduktivität zu beeinträchtigen und spart möglicherweise eine Servicefahrt zum Einsatzort. Die optionale Remote Flash-Funktion ermöglicht die Aktualisierung der Maschinensoftware und stellt sicher, dass die Walzenzüge mit der aktuellsten Softwareversion betrieben werden. </w:t>
      </w:r>
    </w:p>
    <w:p w14:paraId="1F5C8A48" w14:textId="034CE1A8" w:rsidR="00EC326E" w:rsidRPr="00F87EF2" w:rsidRDefault="00EC326E" w:rsidP="00EC326E">
      <w:pPr>
        <w:rPr>
          <w:rFonts w:ascii="Arial" w:hAnsi="Arial" w:cs="Arial"/>
        </w:rPr>
      </w:pPr>
      <w:r w:rsidRPr="00F87EF2">
        <w:rPr>
          <w:rFonts w:ascii="Arial" w:hAnsi="Arial" w:cs="Arial"/>
        </w:rPr>
        <w:t xml:space="preserve"> Die neuen </w:t>
      </w:r>
      <w:proofErr w:type="spellStart"/>
      <w:r w:rsidRPr="00F87EF2">
        <w:rPr>
          <w:rFonts w:ascii="Arial" w:hAnsi="Arial" w:cs="Arial"/>
        </w:rPr>
        <w:t>Cat</w:t>
      </w:r>
      <w:proofErr w:type="spellEnd"/>
      <w:r w:rsidRPr="00F87EF2">
        <w:rPr>
          <w:rFonts w:ascii="Arial" w:hAnsi="Arial" w:cs="Arial"/>
        </w:rPr>
        <w:t>-Walzenzüge sind jetzt serienmäßig mit einem breiten, orangefarbenen Sicherheitsgurt ausgestattet. Rutschhemmende Trittstufen und eine Plattform tragen zur Verbesserung der Betriebssicherheit bei. Ein Anwesenheitssensor im Sitz verhindert ein unbeabsichtigtes Betätigen der Walze, wenn der Bediener nicht sitzt. Mehrere optionale LED-Beleuchtungspakete verbessern die Sichtverhältnisse auf der Baustell</w:t>
      </w:r>
      <w:r w:rsidR="00B01D93">
        <w:rPr>
          <w:rFonts w:ascii="Arial" w:hAnsi="Arial" w:cs="Arial"/>
        </w:rPr>
        <w:t>e</w:t>
      </w:r>
      <w:bookmarkStart w:id="0" w:name="_GoBack"/>
      <w:bookmarkEnd w:id="0"/>
      <w:r w:rsidRPr="00F87EF2">
        <w:rPr>
          <w:rFonts w:ascii="Arial" w:hAnsi="Arial" w:cs="Arial"/>
        </w:rPr>
        <w:t xml:space="preserve">. </w:t>
      </w:r>
    </w:p>
    <w:p w14:paraId="5769B427" w14:textId="77777777" w:rsidR="00EC326E" w:rsidRPr="00F87EF2" w:rsidRDefault="00EC326E" w:rsidP="00EC326E">
      <w:pPr>
        <w:rPr>
          <w:rFonts w:ascii="Arial" w:hAnsi="Arial" w:cs="Arial"/>
        </w:rPr>
      </w:pPr>
      <w:r w:rsidRPr="00F87EF2">
        <w:rPr>
          <w:rFonts w:ascii="Arial" w:hAnsi="Arial" w:cs="Arial"/>
        </w:rPr>
        <w:t>Bildtexte</w:t>
      </w:r>
    </w:p>
    <w:p w14:paraId="2E5FC553" w14:textId="77777777" w:rsidR="00EC326E" w:rsidRPr="00F87EF2" w:rsidRDefault="00EC326E" w:rsidP="00EC326E">
      <w:pPr>
        <w:rPr>
          <w:rFonts w:ascii="Arial" w:hAnsi="Arial" w:cs="Arial"/>
        </w:rPr>
      </w:pPr>
      <w:r w:rsidRPr="00F87EF2">
        <w:rPr>
          <w:rFonts w:ascii="Arial" w:hAnsi="Arial" w:cs="Arial"/>
        </w:rPr>
        <w:t>Bild 1: Die drei Tandem-Walzen CB2.5 GC, CB2.7 GC und die neue Kombiwalze CC2.7 GC zeichnen sich aus durch höhere Produktivität, unübertroffene Effizienz, einfache Bedienung und leichte Wartung.</w:t>
      </w:r>
    </w:p>
    <w:p w14:paraId="49689BA6" w14:textId="77777777" w:rsidR="00EC326E" w:rsidRPr="00F87EF2" w:rsidRDefault="00EC326E" w:rsidP="00EC326E">
      <w:pPr>
        <w:rPr>
          <w:rFonts w:ascii="Arial" w:hAnsi="Arial" w:cs="Arial"/>
        </w:rPr>
      </w:pPr>
      <w:r w:rsidRPr="00F87EF2">
        <w:rPr>
          <w:rFonts w:ascii="Arial" w:hAnsi="Arial" w:cs="Arial"/>
        </w:rPr>
        <w:t xml:space="preserve">Bild 2: Mit Verdichtungsbreiten von 1.000 mm bis 1.300 mm verfügen alle neuen </w:t>
      </w:r>
      <w:proofErr w:type="spellStart"/>
      <w:r w:rsidRPr="00F87EF2">
        <w:rPr>
          <w:rFonts w:ascii="Arial" w:hAnsi="Arial" w:cs="Arial"/>
        </w:rPr>
        <w:t>Cat</w:t>
      </w:r>
      <w:proofErr w:type="spellEnd"/>
      <w:r w:rsidRPr="00F87EF2">
        <w:rPr>
          <w:rFonts w:ascii="Arial" w:hAnsi="Arial" w:cs="Arial"/>
        </w:rPr>
        <w:t xml:space="preserve"> Tandem-Walzen über große </w:t>
      </w:r>
      <w:proofErr w:type="spellStart"/>
      <w:r w:rsidRPr="00F87EF2">
        <w:rPr>
          <w:rFonts w:ascii="Arial" w:hAnsi="Arial" w:cs="Arial"/>
        </w:rPr>
        <w:t>Bandagendurchmesser</w:t>
      </w:r>
      <w:proofErr w:type="spellEnd"/>
      <w:r w:rsidRPr="00F87EF2">
        <w:rPr>
          <w:rFonts w:ascii="Arial" w:hAnsi="Arial" w:cs="Arial"/>
        </w:rPr>
        <w:t xml:space="preserve"> von 720 mm für glatte Oberflächen.</w:t>
      </w:r>
    </w:p>
    <w:p w14:paraId="52CCAD18" w14:textId="34EAC3E5"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6AB39C90" w14:textId="77777777" w:rsidR="006015D7" w:rsidRPr="00580697" w:rsidRDefault="006015D7" w:rsidP="006015D7">
      <w:pPr>
        <w:jc w:val="left"/>
        <w:outlineLvl w:val="0"/>
        <w:rPr>
          <w:rFonts w:ascii="Arial" w:hAnsi="Arial" w:cs="Arial"/>
          <w:b/>
        </w:rPr>
      </w:pPr>
      <w:r w:rsidRPr="00580697">
        <w:rPr>
          <w:rFonts w:ascii="Arial" w:hAnsi="Arial" w:cs="Arial"/>
          <w:b/>
        </w:rPr>
        <w:t>Über die Zeppelin Baumaschinen GmbH</w:t>
      </w:r>
    </w:p>
    <w:p w14:paraId="078A2EE9" w14:textId="77777777" w:rsidR="006015D7" w:rsidRDefault="006015D7" w:rsidP="006015D7">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w:t>
      </w:r>
      <w:proofErr w:type="spellStart"/>
      <w:r w:rsidRPr="00580697">
        <w:rPr>
          <w:rFonts w:ascii="Arial" w:hAnsi="Arial" w:cs="Arial"/>
        </w:rPr>
        <w:t>Caterpillar</w:t>
      </w:r>
      <w:proofErr w:type="spellEnd"/>
      <w:r w:rsidRPr="00580697">
        <w:rPr>
          <w:rFonts w:ascii="Arial" w:hAnsi="Arial" w:cs="Arial"/>
        </w:rPr>
        <w:t xml:space="preserve"> Inc., dem weltgrößten Hersteller von Baumaschinen. Mit </w:t>
      </w:r>
      <w:r>
        <w:rPr>
          <w:rFonts w:ascii="Arial" w:hAnsi="Arial" w:cs="Arial"/>
        </w:rPr>
        <w:t>1.737 Mitarbeitern und einem 2020</w:t>
      </w:r>
      <w:r w:rsidRPr="00580697">
        <w:rPr>
          <w:rFonts w:ascii="Arial" w:hAnsi="Arial" w:cs="Arial"/>
        </w:rPr>
        <w:t xml:space="preserve"> erwirtschafteten Umsatz von </w:t>
      </w:r>
      <w:r>
        <w:rPr>
          <w:rFonts w:ascii="Arial" w:hAnsi="Arial" w:cs="Arial"/>
        </w:rPr>
        <w:t>rund 1,09 Milliarden</w:t>
      </w:r>
      <w:r w:rsidRPr="00580697">
        <w:rPr>
          <w:rFonts w:ascii="Arial" w:hAnsi="Arial" w:cs="Arial"/>
        </w:rPr>
        <w:t xml:space="preserve"> Euro ist die Zeppelin Baumaschinen GmbH die größte Gesellschaft des Zeppelin Konzerns. Zum Produktportfolio zählen neben dem Vertrieb von neuen und gebrauchten </w:t>
      </w:r>
      <w:proofErr w:type="spellStart"/>
      <w:r w:rsidRPr="00580697">
        <w:rPr>
          <w:rFonts w:ascii="Arial" w:hAnsi="Arial" w:cs="Arial"/>
        </w:rPr>
        <w:t>Caterpillar</w:t>
      </w:r>
      <w:proofErr w:type="spellEnd"/>
      <w:r w:rsidRPr="00580697">
        <w:rPr>
          <w:rFonts w:ascii="Arial" w:hAnsi="Arial" w:cs="Arial"/>
        </w:rPr>
        <w:t xml:space="preserve"> Baumaschinen der Service, der bundesweit flächendeckend in 35 Niederlassungen erfolgt, die Beratung und die Finanzierung für die Geräte. Die Zentrale und der juristische Sitz der Zeppelin Baumaschinen GmbH befinden sich in Garching bei München. </w:t>
      </w:r>
    </w:p>
    <w:p w14:paraId="5B365804" w14:textId="77777777" w:rsidR="006015D7" w:rsidRDefault="006015D7" w:rsidP="006015D7">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4EDB7435" w14:textId="77777777" w:rsidR="006015D7" w:rsidRDefault="006015D7" w:rsidP="006015D7">
      <w:pPr>
        <w:pStyle w:val="Subhead"/>
        <w:outlineLvl w:val="0"/>
        <w:rPr>
          <w:sz w:val="22"/>
          <w:szCs w:val="22"/>
        </w:rPr>
      </w:pPr>
      <w:r w:rsidRPr="00AD083E">
        <w:rPr>
          <w:sz w:val="22"/>
          <w:szCs w:val="22"/>
        </w:rPr>
        <w:t>Über den Zeppelin Konzern</w:t>
      </w:r>
    </w:p>
    <w:p w14:paraId="5405FE87" w14:textId="77777777" w:rsidR="006015D7" w:rsidRPr="00AD083E" w:rsidRDefault="006015D7" w:rsidP="006015D7">
      <w:pPr>
        <w:pStyle w:val="Subhead"/>
        <w:outlineLvl w:val="0"/>
        <w:rPr>
          <w:sz w:val="22"/>
          <w:szCs w:val="22"/>
        </w:rPr>
      </w:pPr>
      <w:r w:rsidRPr="00AD083E">
        <w:rPr>
          <w:sz w:val="22"/>
          <w:szCs w:val="22"/>
        </w:rPr>
        <w:t xml:space="preserve"> </w:t>
      </w:r>
    </w:p>
    <w:p w14:paraId="050262C1" w14:textId="77777777" w:rsidR="006015D7" w:rsidRPr="005F0020" w:rsidRDefault="006015D7" w:rsidP="006015D7">
      <w:pPr>
        <w:rPr>
          <w:rFonts w:ascii="Arial" w:eastAsia="PMingLiU" w:hAnsi="Arial" w:cs="Arial"/>
          <w:lang w:eastAsia="de-DE"/>
        </w:rPr>
      </w:pPr>
      <w:r w:rsidRPr="005F0020">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 Zeppelin Digit) zusammen: Baumaschinen Zentraleuropa, Baumaschinen </w:t>
      </w:r>
      <w:proofErr w:type="spellStart"/>
      <w:r w:rsidRPr="005F0020">
        <w:rPr>
          <w:rFonts w:ascii="Arial" w:eastAsia="PMingLiU" w:hAnsi="Arial" w:cs="Arial"/>
          <w:lang w:eastAsia="de-DE"/>
        </w:rPr>
        <w:t>Nordics</w:t>
      </w:r>
      <w:proofErr w:type="spellEnd"/>
      <w:r w:rsidRPr="005F0020">
        <w:rPr>
          <w:rFonts w:ascii="Arial" w:eastAsia="PMingLiU" w:hAnsi="Arial" w:cs="Arial"/>
          <w:lang w:eastAsia="de-DE"/>
        </w:rPr>
        <w:t xml:space="preserve">, Baumaschinen </w:t>
      </w:r>
      <w:proofErr w:type="spellStart"/>
      <w:r w:rsidRPr="005F0020">
        <w:rPr>
          <w:rFonts w:ascii="Arial" w:eastAsia="PMingLiU" w:hAnsi="Arial" w:cs="Arial"/>
          <w:lang w:eastAsia="de-DE"/>
        </w:rPr>
        <w:t>Eurasia</w:t>
      </w:r>
      <w:proofErr w:type="spellEnd"/>
      <w:r w:rsidRPr="005F0020">
        <w:rPr>
          <w:rFonts w:ascii="Arial" w:eastAsia="PMingLiU" w:hAnsi="Arial" w:cs="Arial"/>
          <w:lang w:eastAsia="de-DE"/>
        </w:rPr>
        <w:t xml:space="preserve"> (Vertrieb und Service von Bau-, Bergbau und Landmaschinen), Rental (Miet- und Projektlösungen für Bauwirtschaft und Industrie), Power Systems (Antriebs- und Energiesysteme), Anlagenbau (Engineering und Anlagenbau)</w:t>
      </w:r>
      <w:r w:rsidRPr="005F0020">
        <w:rPr>
          <w:rFonts w:ascii="Arial" w:hAnsi="Arial" w:cs="Arial"/>
          <w:color w:val="FF0000"/>
        </w:rPr>
        <w:t xml:space="preserve"> </w:t>
      </w:r>
      <w:r w:rsidRPr="005F0020">
        <w:rPr>
          <w:rFonts w:ascii="Arial" w:eastAsia="PMingLiU" w:hAnsi="Arial" w:cs="Arial"/>
          <w:lang w:eastAsia="de-DE"/>
        </w:rPr>
        <w:t xml:space="preserve">sowie Zeppelin Digit (IT und Digitalisierung). Alle digitalen Geschäfte werden bei Zeppelin Digit gebündelt. Im Geschäftsjahr 2020 erwirtschaftete der Konzern einen Umsatz von 3,3 Milliarden Euro.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47933432" w14:textId="77777777" w:rsidR="006015D7" w:rsidRPr="00AD083E" w:rsidRDefault="006015D7" w:rsidP="006015D7">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 xml:space="preserve">Klaus </w:t>
            </w:r>
            <w:proofErr w:type="spellStart"/>
            <w:r w:rsidRPr="00727B05">
              <w:rPr>
                <w:rFonts w:ascii="Arial" w:hAnsi="Arial" w:cs="Arial"/>
                <w:szCs w:val="22"/>
              </w:rPr>
              <w:t>Finzel</w:t>
            </w:r>
            <w:proofErr w:type="spellEnd"/>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 xml:space="preserve">Klaus </w:t>
            </w:r>
            <w:proofErr w:type="spellStart"/>
            <w:r w:rsidRPr="00727B05">
              <w:rPr>
                <w:rFonts w:ascii="Arial" w:hAnsi="Arial" w:cs="Arial"/>
                <w:szCs w:val="22"/>
              </w:rPr>
              <w:t>Finzel</w:t>
            </w:r>
            <w:proofErr w:type="spellEnd"/>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9C68C8"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1F1208" w14:textId="77777777" w:rsidR="009C68C8" w:rsidRDefault="009C68C8" w:rsidP="00AF4275">
      <w:pPr>
        <w:spacing w:after="0" w:line="240" w:lineRule="auto"/>
      </w:pPr>
      <w:r>
        <w:separator/>
      </w:r>
    </w:p>
  </w:endnote>
  <w:endnote w:type="continuationSeparator" w:id="0">
    <w:p w14:paraId="7197C291" w14:textId="77777777" w:rsidR="009C68C8" w:rsidRDefault="009C68C8"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2835A9" w14:textId="77777777" w:rsidR="009C68C8" w:rsidRDefault="009C68C8" w:rsidP="00AF4275">
      <w:pPr>
        <w:spacing w:after="0" w:line="240" w:lineRule="auto"/>
      </w:pPr>
      <w:r>
        <w:separator/>
      </w:r>
    </w:p>
  </w:footnote>
  <w:footnote w:type="continuationSeparator" w:id="0">
    <w:p w14:paraId="2A168D60" w14:textId="77777777" w:rsidR="009C68C8" w:rsidRDefault="009C68C8"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4FB8"/>
    <w:rsid w:val="0008773E"/>
    <w:rsid w:val="000916DD"/>
    <w:rsid w:val="000948E8"/>
    <w:rsid w:val="000A1F28"/>
    <w:rsid w:val="000A3D9B"/>
    <w:rsid w:val="000B3998"/>
    <w:rsid w:val="000E2E86"/>
    <w:rsid w:val="000E79BD"/>
    <w:rsid w:val="00107ED4"/>
    <w:rsid w:val="001437E7"/>
    <w:rsid w:val="00145E11"/>
    <w:rsid w:val="00146966"/>
    <w:rsid w:val="00151F22"/>
    <w:rsid w:val="0015242D"/>
    <w:rsid w:val="00164D30"/>
    <w:rsid w:val="00167B61"/>
    <w:rsid w:val="00174623"/>
    <w:rsid w:val="00185364"/>
    <w:rsid w:val="00186CE6"/>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32A5"/>
    <w:rsid w:val="006015D7"/>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C68C8"/>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B3A24"/>
    <w:rsid w:val="00AD083E"/>
    <w:rsid w:val="00AD5657"/>
    <w:rsid w:val="00AF4275"/>
    <w:rsid w:val="00AF64F6"/>
    <w:rsid w:val="00AF70E4"/>
    <w:rsid w:val="00B01D93"/>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326E"/>
    <w:rsid w:val="00EC4645"/>
    <w:rsid w:val="00ED022E"/>
    <w:rsid w:val="00ED2016"/>
    <w:rsid w:val="00ED3E93"/>
    <w:rsid w:val="00ED79CA"/>
    <w:rsid w:val="00EF30E7"/>
    <w:rsid w:val="00F060DC"/>
    <w:rsid w:val="00F06AA2"/>
    <w:rsid w:val="00F10EFE"/>
    <w:rsid w:val="00F1357C"/>
    <w:rsid w:val="00F245EA"/>
    <w:rsid w:val="00F2771A"/>
    <w:rsid w:val="00F311E0"/>
    <w:rsid w:val="00F47813"/>
    <w:rsid w:val="00F52497"/>
    <w:rsid w:val="00F530BE"/>
    <w:rsid w:val="00F567EE"/>
    <w:rsid w:val="00F57C23"/>
    <w:rsid w:val="00F604C6"/>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89E14-4CA6-A744-84C3-EF7E437A6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1007</Words>
  <Characters>6351</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7344</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5</cp:revision>
  <cp:lastPrinted>2016-01-13T11:42:00Z</cp:lastPrinted>
  <dcterms:created xsi:type="dcterms:W3CDTF">2021-03-16T15:01:00Z</dcterms:created>
  <dcterms:modified xsi:type="dcterms:W3CDTF">2021-04-22T14:00:00Z</dcterms:modified>
</cp:coreProperties>
</file>